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0" w:rightChars="0"/>
        <w:jc w:val="center"/>
        <w:textAlignment w:val="auto"/>
        <w:outlineLvl w:val="9"/>
        <w:rPr>
          <w:rFonts w:hint="eastAsia" w:ascii="黑体" w:hAnsi="黑体" w:eastAsia="黑体" w:cs="Calibri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中国电子工业标准化技术协会</w:t>
      </w:r>
      <w:r>
        <w:rPr>
          <w:rFonts w:hint="eastAsia" w:ascii="黑体" w:hAnsi="黑体" w:eastAsia="黑体" w:cs="Calibri"/>
          <w:bCs/>
          <w:sz w:val="32"/>
          <w:szCs w:val="32"/>
          <w:lang w:val="en-US" w:eastAsia="zh-CN"/>
        </w:rPr>
        <w:t>团体标准项目建议汇总表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157" w:beforeLines="50"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填报单位：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 xml:space="preserve">                         </w:t>
      </w:r>
    </w:p>
    <w:tbl>
      <w:tblPr>
        <w:tblStyle w:val="7"/>
        <w:tblW w:w="13842" w:type="dxa"/>
        <w:tblInd w:w="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3672"/>
        <w:gridCol w:w="998"/>
        <w:gridCol w:w="1188"/>
        <w:gridCol w:w="1259"/>
        <w:gridCol w:w="1402"/>
        <w:gridCol w:w="3576"/>
        <w:gridCol w:w="1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 w:val="21"/>
                <w:szCs w:val="21"/>
              </w:rPr>
              <w:t>制修订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 w:val="21"/>
                <w:szCs w:val="21"/>
              </w:rPr>
              <w:t>代替标准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 w:val="21"/>
                <w:szCs w:val="21"/>
              </w:rPr>
              <w:t>采标情况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建议</w:t>
            </w:r>
          </w:p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项目周期</w:t>
            </w:r>
          </w:p>
        </w:tc>
        <w:tc>
          <w:tcPr>
            <w:tcW w:w="3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发起或牵头</w:t>
            </w:r>
            <w:r>
              <w:rPr>
                <w:rFonts w:ascii="宋体" w:hAnsi="宋体" w:cs="宋体"/>
                <w:b/>
                <w:kern w:val="0"/>
                <w:sz w:val="21"/>
                <w:szCs w:val="21"/>
              </w:rPr>
              <w:t>单位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1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1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Arial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1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cs="Arial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1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cs="Arial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1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cs="Arial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157" w:beforeLines="50"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填表人：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 xml:space="preserve">           联系电话：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 xml:space="preserve">                     </w:t>
      </w:r>
    </w:p>
    <w:p>
      <w:bookmarkStart w:id="0" w:name="_GoBack"/>
      <w:bookmarkEnd w:id="0"/>
    </w:p>
    <w:sectPr>
      <w:pgSz w:w="16838" w:h="11906" w:orient="landscape"/>
      <w:pgMar w:top="1474" w:right="1474" w:bottom="1474" w:left="1474" w:header="851" w:footer="992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30098"/>
    <w:multiLevelType w:val="multilevel"/>
    <w:tmpl w:val="5083009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61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cesa-wjz</dc:creator>
  <cp:lastModifiedBy>姝琳</cp:lastModifiedBy>
  <dcterms:modified xsi:type="dcterms:W3CDTF">2018-05-17T07:18:22Z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